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694" w:rsidRDefault="00AD7694" w:rsidP="00AD7694">
      <w:pPr>
        <w:widowControl/>
        <w:shd w:val="clear" w:color="auto" w:fill="F5FAFE"/>
        <w:spacing w:line="450" w:lineRule="atLeast"/>
        <w:jc w:val="center"/>
        <w:rPr>
          <w:rFonts w:ascii="宋体" w:eastAsia="宋体" w:hAnsi="宋体" w:cs="宋体" w:hint="eastAsia"/>
          <w:b/>
          <w:bCs/>
          <w:color w:val="2D2D2D"/>
          <w:kern w:val="0"/>
          <w:sz w:val="28"/>
          <w:szCs w:val="28"/>
        </w:rPr>
      </w:pPr>
    </w:p>
    <w:p w:rsidR="00AD7694" w:rsidRDefault="00AD7694" w:rsidP="00AD7694">
      <w:pPr>
        <w:widowControl/>
        <w:shd w:val="clear" w:color="auto" w:fill="F5FAFE"/>
        <w:spacing w:line="450" w:lineRule="atLeast"/>
        <w:jc w:val="center"/>
        <w:rPr>
          <w:rFonts w:ascii="宋体" w:eastAsia="宋体" w:hAnsi="宋体" w:cs="宋体" w:hint="eastAsia"/>
          <w:b/>
          <w:bCs/>
          <w:color w:val="2D2D2D"/>
          <w:kern w:val="0"/>
          <w:sz w:val="28"/>
          <w:szCs w:val="28"/>
        </w:rPr>
      </w:pPr>
    </w:p>
    <w:p w:rsidR="00AD7694" w:rsidRPr="00AD7694" w:rsidRDefault="00AD7694" w:rsidP="00AD7694">
      <w:pPr>
        <w:widowControl/>
        <w:shd w:val="clear" w:color="auto" w:fill="F5FAFE"/>
        <w:spacing w:line="450" w:lineRule="atLeast"/>
        <w:jc w:val="center"/>
        <w:rPr>
          <w:rFonts w:ascii="宋体" w:eastAsia="宋体" w:hAnsi="宋体" w:cs="宋体"/>
          <w:b/>
          <w:bCs/>
          <w:color w:val="2D2D2D"/>
          <w:kern w:val="0"/>
          <w:sz w:val="28"/>
          <w:szCs w:val="28"/>
        </w:rPr>
      </w:pPr>
      <w:r w:rsidRPr="00AD7694">
        <w:rPr>
          <w:rFonts w:ascii="宋体" w:eastAsia="宋体" w:hAnsi="宋体" w:cs="宋体" w:hint="eastAsia"/>
          <w:b/>
          <w:bCs/>
          <w:color w:val="2D2D2D"/>
          <w:kern w:val="0"/>
          <w:sz w:val="28"/>
          <w:szCs w:val="28"/>
        </w:rPr>
        <w:t>关于印发《中央和国家机关会议费管理办法》的通知</w:t>
      </w:r>
    </w:p>
    <w:p w:rsidR="00AD7694" w:rsidRPr="00AD7694" w:rsidRDefault="00AD7694" w:rsidP="00AD7694">
      <w:pPr>
        <w:widowControl/>
        <w:shd w:val="clear" w:color="auto" w:fill="F5FAFE"/>
        <w:spacing w:line="360" w:lineRule="atLeast"/>
        <w:ind w:firstLine="360"/>
        <w:jc w:val="center"/>
        <w:rPr>
          <w:rFonts w:ascii="宋体" w:eastAsia="宋体" w:hAnsi="宋体" w:cs="宋体" w:hint="eastAsia"/>
          <w:color w:val="555555"/>
          <w:kern w:val="0"/>
          <w:sz w:val="28"/>
          <w:szCs w:val="28"/>
        </w:rPr>
      </w:pPr>
      <w:proofErr w:type="gramStart"/>
      <w:r w:rsidRPr="00AD7694">
        <w:rPr>
          <w:rFonts w:ascii="宋体" w:eastAsia="宋体" w:hAnsi="宋体" w:cs="宋体" w:hint="eastAsia"/>
          <w:color w:val="555555"/>
          <w:kern w:val="0"/>
          <w:sz w:val="28"/>
          <w:szCs w:val="28"/>
        </w:rPr>
        <w:t>财行</w:t>
      </w:r>
      <w:proofErr w:type="gramEnd"/>
      <w:r w:rsidRPr="00AD7694">
        <w:rPr>
          <w:rFonts w:ascii="宋体" w:eastAsia="宋体" w:hAnsi="宋体" w:cs="宋体" w:hint="eastAsia"/>
          <w:color w:val="555555"/>
          <w:kern w:val="0"/>
          <w:sz w:val="28"/>
          <w:szCs w:val="28"/>
        </w:rPr>
        <w:t xml:space="preserve">[2013]286号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党中央各部门,国务院各部委、各直属机构,全国人大常委会办公厅,全国政协办公厅,高法院,高检院,各人民团体,各民主党派办公厅,新疆生产建设兵团财务局: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为贯彻落实中央关于改进工作作风,密切联系群众八项规定及实施细则,推进厉行节约反对浪费制度建设,改进会风,精简会议,进一步加强和规范会议费管理,我们制定了《中央和国家机关会议费管理办法》。现印发给你们,从2014年1月1日起施行。执行中有何问题,请及时向我们反映。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附件：中央和国家机关会议费管理办法 </w:t>
      </w:r>
    </w:p>
    <w:p w:rsidR="00AD7694" w:rsidRPr="00AD7694" w:rsidRDefault="00AD7694" w:rsidP="00AD7694">
      <w:pPr>
        <w:widowControl/>
        <w:shd w:val="clear" w:color="auto" w:fill="F5FAFE"/>
        <w:spacing w:line="360" w:lineRule="atLeast"/>
        <w:ind w:firstLine="360"/>
        <w:jc w:val="righ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财政部 国家机关事务管理局 中共中央直属机关事务管理局 </w:t>
      </w:r>
    </w:p>
    <w:p w:rsidR="00AD7694" w:rsidRPr="00AD7694" w:rsidRDefault="00AD7694" w:rsidP="00AD7694">
      <w:pPr>
        <w:widowControl/>
        <w:shd w:val="clear" w:color="auto" w:fill="F5FAFE"/>
        <w:spacing w:line="360" w:lineRule="atLeast"/>
        <w:ind w:firstLine="360"/>
        <w:jc w:val="righ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2013年9月13日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附件： </w:t>
      </w:r>
    </w:p>
    <w:p w:rsidR="00AD7694" w:rsidRPr="00AD7694" w:rsidRDefault="00AD7694" w:rsidP="00AD7694">
      <w:pPr>
        <w:widowControl/>
        <w:shd w:val="clear" w:color="auto" w:fill="F5FAFE"/>
        <w:spacing w:line="360" w:lineRule="atLeast"/>
        <w:ind w:firstLine="360"/>
        <w:jc w:val="center"/>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中央和国家机关会议费管理办法 </w:t>
      </w:r>
    </w:p>
    <w:p w:rsidR="00AD7694" w:rsidRPr="00AD7694" w:rsidRDefault="00AD7694" w:rsidP="00AD7694">
      <w:pPr>
        <w:widowControl/>
        <w:shd w:val="clear" w:color="auto" w:fill="F5FAFE"/>
        <w:spacing w:line="360" w:lineRule="atLeast"/>
        <w:ind w:firstLine="360"/>
        <w:jc w:val="center"/>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第一章　总则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第一条　为进一步加强和规范中央和国家机关会议费管理,精简会议,改进会风,提高会议效率和质量,节约会议经费开支,制定本办法。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lastRenderedPageBreak/>
        <w:t xml:space="preserve">　　第二条　中央和国家机关会议的分类、审批和会议费管理等,适用本办法。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本办法所称中央和国家机关,是指党中央各部门,国务院各部委、各直属机构,全国人大常委会办公厅,全国政协办公厅,最高人民法院,最高人民检察院,各人民团体、各民主党派中央和全国工商联(以下简称“各单位”)。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第三条　各单位召开会议应当坚持厉行节约、反对浪费、规范简朴、务实高效的原则,严格控制会议数量,规范会议费管理。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第四条　各单位召开的会议实行分类管理、分级审批。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第五条　各单位应当严格会议费预算管理,控制会议费预算规模。会议费预算要细化到</w:t>
      </w:r>
      <w:proofErr w:type="gramStart"/>
      <w:r w:rsidRPr="00AD7694">
        <w:rPr>
          <w:rFonts w:ascii="宋体" w:eastAsia="宋体" w:hAnsi="宋体" w:cs="宋体" w:hint="eastAsia"/>
          <w:color w:val="555555"/>
          <w:kern w:val="0"/>
          <w:sz w:val="28"/>
          <w:szCs w:val="28"/>
        </w:rPr>
        <w:t>具体会议</w:t>
      </w:r>
      <w:proofErr w:type="gramEnd"/>
      <w:r w:rsidRPr="00AD7694">
        <w:rPr>
          <w:rFonts w:ascii="宋体" w:eastAsia="宋体" w:hAnsi="宋体" w:cs="宋体" w:hint="eastAsia"/>
          <w:color w:val="555555"/>
          <w:kern w:val="0"/>
          <w:sz w:val="28"/>
          <w:szCs w:val="28"/>
        </w:rPr>
        <w:t xml:space="preserve">项目,执行中不得突破。会议费应纳入部门预算,并单独列示。 </w:t>
      </w:r>
    </w:p>
    <w:p w:rsidR="00AD7694" w:rsidRPr="00AD7694" w:rsidRDefault="00AD7694" w:rsidP="00AD7694">
      <w:pPr>
        <w:widowControl/>
        <w:shd w:val="clear" w:color="auto" w:fill="F5FAFE"/>
        <w:spacing w:line="360" w:lineRule="atLeast"/>
        <w:ind w:firstLine="360"/>
        <w:jc w:val="center"/>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第二章　会议分类和审批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第六条　中央和国家机关会议分类如下: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一类会议。是以党中央和国务院名义召开的,要求省、自治区、直辖市、计划单列市或中央部门负责同志参加的会议。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二类会议。是党中央和国务院各部委、各直属机构召开的,要求本系统、各直属机构或省、自治区、直辖市、计划单列市有关厅(局)负责同志参加的会议。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三类会议。是党中央和国务院各部委、各直属机构,最高人民法院,最高人民检察院,各人民团体及其所属内设机构召开的,要求省、</w:t>
      </w:r>
      <w:r w:rsidRPr="00AD7694">
        <w:rPr>
          <w:rFonts w:ascii="宋体" w:eastAsia="宋体" w:hAnsi="宋体" w:cs="宋体" w:hint="eastAsia"/>
          <w:color w:val="555555"/>
          <w:kern w:val="0"/>
          <w:sz w:val="28"/>
          <w:szCs w:val="28"/>
        </w:rPr>
        <w:lastRenderedPageBreak/>
        <w:t xml:space="preserve">自治区、直辖市、计划单列市有关厅(局)或本系统机构有关人员参加的会议。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四类会议。是指除上述一、二、三类会议以外的其他业务性会议,包括小型研讨会、座谈会、评审会等。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第七条　中央和国家机关会议按以下程序和要求进行审批: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一类会议。应当报经党中央和国务院批准。会议总务、经费预算及费用结算等工作分别由中共中央直属机关事务管理局(以下简称中直管理局)和国家机关事务管理局(以下简称国管局)负责。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二类会议。各单位应当于每年11月底前,将下一年度会议计划(包括会议名称、召开的理由、主要内容、时间地点、代表人数、工作人员数、所需经费及列支渠道等)送财政部审核会签,按程序经中央办公厅、国务院办公厅审核后报批。各单位召开二类会议原则上每年不超过1次。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三类会议。各单位应当建立会议计划编报和审批制度,年度会议计划(包括会议数量、会议名称、召开的理由、主要内容、时间地点、代表人数、工作人员数、所需经费及列支渠道等)经单位领导办公会或党组(党委)会审批后执行。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四类会议。由单位分管领导审核并报主要领导批准后执行,并列入单位年度会议计划。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第八条　一类会议会期按照批准文件,根据工作需要从严控制;二、三、四类会议会期均不得超过2天;传达、布置类会议会期不得超过1天。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lastRenderedPageBreak/>
        <w:t xml:space="preserve">　　会议报到和离开时间,一、二、三类会议合计不得超过2天,四类会议合计不得超过1天。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第九条　各单位应当严格控制会议规模。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一类会议参会人员按照批准文件,根据会议性质和主要内容确定,严格限定会议代表和工作人员数量。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二类会议参会人员不得超过300人,其中,工作人员控制在会议代表人数的15%以内;不请省、自治区、直辖市和中央部门主要负责同志、分管负责同志出席。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三类会议参会人员不得超过150人,其中,工作人员控制在会议代表人数的10%以内。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四类会议参会人员视内容而定,一般不得超过50人。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第十条　全国人大常委会办公厅、全国政协办公厅、各民主党派中央和全国工商联的会议分类、审批事项、会期及参会人员等,由上述部门依据法律法规、章程规定,参照第六条至第九条</w:t>
      </w:r>
      <w:proofErr w:type="gramStart"/>
      <w:r w:rsidRPr="00AD7694">
        <w:rPr>
          <w:rFonts w:ascii="宋体" w:eastAsia="宋体" w:hAnsi="宋体" w:cs="宋体" w:hint="eastAsia"/>
          <w:color w:val="555555"/>
          <w:kern w:val="0"/>
          <w:sz w:val="28"/>
          <w:szCs w:val="28"/>
        </w:rPr>
        <w:t>作出</w:t>
      </w:r>
      <w:proofErr w:type="gramEnd"/>
      <w:r w:rsidRPr="00AD7694">
        <w:rPr>
          <w:rFonts w:ascii="宋体" w:eastAsia="宋体" w:hAnsi="宋体" w:cs="宋体" w:hint="eastAsia"/>
          <w:color w:val="555555"/>
          <w:kern w:val="0"/>
          <w:sz w:val="28"/>
          <w:szCs w:val="28"/>
        </w:rPr>
        <w:t xml:space="preserve">规定,并报财政部备案。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第十一条 各单位召开会议应当改进会议形式,充分运用电视电话、网络视频等现代信息技术手段,降低会议成本,提高会议效率。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传达、布置类会议优先采取电视电话、网络视频会议方式召开。电视电话、网络视频会议的主会场和分会场应当控制规模,节约费用支出。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第十二条　不能够采用电视电话、网络视频召开的会议实行定点管理。各单位会议应当到定点饭店召开,按照协议价格结算费用。</w:t>
      </w:r>
      <w:r w:rsidRPr="00AD7694">
        <w:rPr>
          <w:rFonts w:ascii="宋体" w:eastAsia="宋体" w:hAnsi="宋体" w:cs="宋体" w:hint="eastAsia"/>
          <w:color w:val="555555"/>
          <w:kern w:val="0"/>
          <w:sz w:val="28"/>
          <w:szCs w:val="28"/>
        </w:rPr>
        <w:lastRenderedPageBreak/>
        <w:t xml:space="preserve">未纳入定点范围,价格低于会议综合定额标准的单位内部会议室、礼堂、宾馆、招待所、培训中心,可优先作为本单位或本系统会议场所。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二、三、四类会议应当在四星级以下(含四星)定点饭店召开。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参会人员在50人以内且无外地代表的会议,原则上在单位内部会议室召开,不安排住宿。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第十三条　参会人员以在京单位为主的会议不得到京外召开。各单位不得到党中央、国务院明令禁止的风景名胜区召开会议。 </w:t>
      </w:r>
    </w:p>
    <w:p w:rsidR="00AD7694" w:rsidRPr="00AD7694" w:rsidRDefault="00AD7694" w:rsidP="00AD7694">
      <w:pPr>
        <w:widowControl/>
        <w:shd w:val="clear" w:color="auto" w:fill="F5FAFE"/>
        <w:spacing w:line="360" w:lineRule="atLeast"/>
        <w:ind w:firstLine="360"/>
        <w:jc w:val="center"/>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第三章　会议费开支范围、标准和报销支付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第十四条　会议费开支范围包括会议住宿费、伙食费、会议室租金、交通费、文件印刷费、医药费等。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前款所称交通费是指用于会议代表接送站,以及会议统一组织的代表考察、调研等发生的交通支出。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会议代表参加会议发生的城市间交通费,按照差旅费管理办法的规定回单位报销。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第十五条　会议费开支实行综合定额控制,各项费用之间可以调剂使用。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会议</w:t>
      </w:r>
      <w:proofErr w:type="gramStart"/>
      <w:r w:rsidRPr="00AD7694">
        <w:rPr>
          <w:rFonts w:ascii="宋体" w:eastAsia="宋体" w:hAnsi="宋体" w:cs="宋体" w:hint="eastAsia"/>
          <w:color w:val="555555"/>
          <w:kern w:val="0"/>
          <w:sz w:val="28"/>
          <w:szCs w:val="28"/>
        </w:rPr>
        <w:t>费综合</w:t>
      </w:r>
      <w:proofErr w:type="gramEnd"/>
      <w:r w:rsidRPr="00AD7694">
        <w:rPr>
          <w:rFonts w:ascii="宋体" w:eastAsia="宋体" w:hAnsi="宋体" w:cs="宋体" w:hint="eastAsia"/>
          <w:color w:val="555555"/>
          <w:kern w:val="0"/>
          <w:sz w:val="28"/>
          <w:szCs w:val="28"/>
        </w:rPr>
        <w:t xml:space="preserve">定额标准如下: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单位:元/人天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5"/>
        <w:gridCol w:w="1245"/>
        <w:gridCol w:w="1560"/>
        <w:gridCol w:w="1560"/>
        <w:gridCol w:w="1695"/>
      </w:tblGrid>
      <w:tr w:rsidR="00AD7694" w:rsidRPr="00AD7694" w:rsidTr="00AD7694">
        <w:trPr>
          <w:tblCellSpacing w:w="0" w:type="dxa"/>
        </w:trPr>
        <w:tc>
          <w:tcPr>
            <w:tcW w:w="2025" w:type="dxa"/>
            <w:tcBorders>
              <w:top w:val="outset" w:sz="6" w:space="0" w:color="auto"/>
              <w:left w:val="outset" w:sz="6" w:space="0" w:color="auto"/>
              <w:bottom w:val="outset" w:sz="6" w:space="0" w:color="auto"/>
              <w:right w:val="outset" w:sz="6" w:space="0" w:color="auto"/>
            </w:tcBorders>
            <w:vAlign w:val="center"/>
            <w:hideMark/>
          </w:tcPr>
          <w:p w:rsidR="00AD7694" w:rsidRPr="00AD7694" w:rsidRDefault="00AD7694" w:rsidP="00AD7694">
            <w:pPr>
              <w:widowControl/>
              <w:spacing w:line="300" w:lineRule="atLeast"/>
              <w:jc w:val="left"/>
              <w:rPr>
                <w:rFonts w:ascii="宋体" w:eastAsia="宋体" w:hAnsi="宋体" w:cs="宋体"/>
                <w:color w:val="2D2D2D"/>
                <w:kern w:val="0"/>
                <w:sz w:val="28"/>
                <w:szCs w:val="28"/>
              </w:rPr>
            </w:pPr>
            <w:r w:rsidRPr="00AD7694">
              <w:rPr>
                <w:rFonts w:ascii="宋体" w:eastAsia="宋体" w:hAnsi="宋体" w:cs="宋体" w:hint="eastAsia"/>
                <w:color w:val="2D2D2D"/>
                <w:kern w:val="0"/>
                <w:sz w:val="28"/>
                <w:szCs w:val="28"/>
              </w:rPr>
              <w:t xml:space="preserve">　　会议类别 </w:t>
            </w:r>
          </w:p>
        </w:tc>
        <w:tc>
          <w:tcPr>
            <w:tcW w:w="1245" w:type="dxa"/>
            <w:tcBorders>
              <w:top w:val="outset" w:sz="6" w:space="0" w:color="auto"/>
              <w:left w:val="outset" w:sz="6" w:space="0" w:color="auto"/>
              <w:bottom w:val="outset" w:sz="6" w:space="0" w:color="auto"/>
              <w:right w:val="outset" w:sz="6" w:space="0" w:color="auto"/>
            </w:tcBorders>
            <w:vAlign w:val="center"/>
            <w:hideMark/>
          </w:tcPr>
          <w:p w:rsidR="00AD7694" w:rsidRPr="00AD7694" w:rsidRDefault="00AD7694" w:rsidP="00AD7694">
            <w:pPr>
              <w:widowControl/>
              <w:spacing w:line="300" w:lineRule="atLeast"/>
              <w:jc w:val="left"/>
              <w:rPr>
                <w:rFonts w:ascii="宋体" w:eastAsia="宋体" w:hAnsi="宋体" w:cs="宋体"/>
                <w:color w:val="2D2D2D"/>
                <w:kern w:val="0"/>
                <w:sz w:val="28"/>
                <w:szCs w:val="28"/>
              </w:rPr>
            </w:pPr>
            <w:r w:rsidRPr="00AD7694">
              <w:rPr>
                <w:rFonts w:ascii="宋体" w:eastAsia="宋体" w:hAnsi="宋体" w:cs="宋体" w:hint="eastAsia"/>
                <w:color w:val="2D2D2D"/>
                <w:kern w:val="0"/>
                <w:sz w:val="28"/>
                <w:szCs w:val="28"/>
              </w:rPr>
              <w:t xml:space="preserve">　　住宿费 </w:t>
            </w:r>
          </w:p>
        </w:tc>
        <w:tc>
          <w:tcPr>
            <w:tcW w:w="1560" w:type="dxa"/>
            <w:tcBorders>
              <w:top w:val="outset" w:sz="6" w:space="0" w:color="auto"/>
              <w:left w:val="outset" w:sz="6" w:space="0" w:color="auto"/>
              <w:bottom w:val="outset" w:sz="6" w:space="0" w:color="auto"/>
              <w:right w:val="outset" w:sz="6" w:space="0" w:color="auto"/>
            </w:tcBorders>
            <w:vAlign w:val="center"/>
            <w:hideMark/>
          </w:tcPr>
          <w:p w:rsidR="00AD7694" w:rsidRPr="00AD7694" w:rsidRDefault="00AD7694" w:rsidP="00AD7694">
            <w:pPr>
              <w:widowControl/>
              <w:spacing w:line="300" w:lineRule="atLeast"/>
              <w:jc w:val="left"/>
              <w:rPr>
                <w:rFonts w:ascii="宋体" w:eastAsia="宋体" w:hAnsi="宋体" w:cs="宋体"/>
                <w:color w:val="2D2D2D"/>
                <w:kern w:val="0"/>
                <w:sz w:val="28"/>
                <w:szCs w:val="28"/>
              </w:rPr>
            </w:pPr>
            <w:r w:rsidRPr="00AD7694">
              <w:rPr>
                <w:rFonts w:ascii="宋体" w:eastAsia="宋体" w:hAnsi="宋体" w:cs="宋体" w:hint="eastAsia"/>
                <w:color w:val="2D2D2D"/>
                <w:kern w:val="0"/>
                <w:sz w:val="28"/>
                <w:szCs w:val="28"/>
              </w:rPr>
              <w:t xml:space="preserve">　　伙食费 </w:t>
            </w:r>
          </w:p>
        </w:tc>
        <w:tc>
          <w:tcPr>
            <w:tcW w:w="1560" w:type="dxa"/>
            <w:tcBorders>
              <w:top w:val="outset" w:sz="6" w:space="0" w:color="auto"/>
              <w:left w:val="outset" w:sz="6" w:space="0" w:color="auto"/>
              <w:bottom w:val="outset" w:sz="6" w:space="0" w:color="auto"/>
              <w:right w:val="outset" w:sz="6" w:space="0" w:color="auto"/>
            </w:tcBorders>
            <w:vAlign w:val="center"/>
            <w:hideMark/>
          </w:tcPr>
          <w:p w:rsidR="00AD7694" w:rsidRPr="00AD7694" w:rsidRDefault="00AD7694" w:rsidP="00AD7694">
            <w:pPr>
              <w:widowControl/>
              <w:spacing w:line="300" w:lineRule="atLeast"/>
              <w:jc w:val="left"/>
              <w:rPr>
                <w:rFonts w:ascii="宋体" w:eastAsia="宋体" w:hAnsi="宋体" w:cs="宋体"/>
                <w:color w:val="2D2D2D"/>
                <w:kern w:val="0"/>
                <w:sz w:val="28"/>
                <w:szCs w:val="28"/>
              </w:rPr>
            </w:pPr>
            <w:r w:rsidRPr="00AD7694">
              <w:rPr>
                <w:rFonts w:ascii="宋体" w:eastAsia="宋体" w:hAnsi="宋体" w:cs="宋体" w:hint="eastAsia"/>
                <w:color w:val="2D2D2D"/>
                <w:kern w:val="0"/>
                <w:sz w:val="28"/>
                <w:szCs w:val="28"/>
              </w:rPr>
              <w:t xml:space="preserve">　　其他费用 </w:t>
            </w:r>
          </w:p>
        </w:tc>
        <w:tc>
          <w:tcPr>
            <w:tcW w:w="1695" w:type="dxa"/>
            <w:tcBorders>
              <w:top w:val="outset" w:sz="6" w:space="0" w:color="auto"/>
              <w:left w:val="outset" w:sz="6" w:space="0" w:color="auto"/>
              <w:bottom w:val="outset" w:sz="6" w:space="0" w:color="auto"/>
              <w:right w:val="outset" w:sz="6" w:space="0" w:color="auto"/>
            </w:tcBorders>
            <w:vAlign w:val="center"/>
            <w:hideMark/>
          </w:tcPr>
          <w:p w:rsidR="00AD7694" w:rsidRPr="00AD7694" w:rsidRDefault="00AD7694" w:rsidP="00AD7694">
            <w:pPr>
              <w:widowControl/>
              <w:spacing w:line="300" w:lineRule="atLeast"/>
              <w:jc w:val="left"/>
              <w:rPr>
                <w:rFonts w:ascii="宋体" w:eastAsia="宋体" w:hAnsi="宋体" w:cs="宋体"/>
                <w:color w:val="2D2D2D"/>
                <w:kern w:val="0"/>
                <w:sz w:val="28"/>
                <w:szCs w:val="28"/>
              </w:rPr>
            </w:pPr>
            <w:r w:rsidRPr="00AD7694">
              <w:rPr>
                <w:rFonts w:ascii="宋体" w:eastAsia="宋体" w:hAnsi="宋体" w:cs="宋体" w:hint="eastAsia"/>
                <w:color w:val="2D2D2D"/>
                <w:kern w:val="0"/>
                <w:sz w:val="28"/>
                <w:szCs w:val="28"/>
              </w:rPr>
              <w:t xml:space="preserve">　　合　计 </w:t>
            </w:r>
          </w:p>
        </w:tc>
      </w:tr>
      <w:tr w:rsidR="00AD7694" w:rsidRPr="00AD7694" w:rsidTr="00AD7694">
        <w:trPr>
          <w:tblCellSpacing w:w="0" w:type="dxa"/>
        </w:trPr>
        <w:tc>
          <w:tcPr>
            <w:tcW w:w="2025" w:type="dxa"/>
            <w:tcBorders>
              <w:top w:val="outset" w:sz="6" w:space="0" w:color="auto"/>
              <w:left w:val="outset" w:sz="6" w:space="0" w:color="auto"/>
              <w:bottom w:val="outset" w:sz="6" w:space="0" w:color="auto"/>
              <w:right w:val="outset" w:sz="6" w:space="0" w:color="auto"/>
            </w:tcBorders>
            <w:vAlign w:val="center"/>
            <w:hideMark/>
          </w:tcPr>
          <w:p w:rsidR="00AD7694" w:rsidRPr="00AD7694" w:rsidRDefault="00AD7694" w:rsidP="00AD7694">
            <w:pPr>
              <w:widowControl/>
              <w:spacing w:line="300" w:lineRule="atLeast"/>
              <w:jc w:val="left"/>
              <w:rPr>
                <w:rFonts w:ascii="宋体" w:eastAsia="宋体" w:hAnsi="宋体" w:cs="宋体"/>
                <w:color w:val="2D2D2D"/>
                <w:kern w:val="0"/>
                <w:sz w:val="28"/>
                <w:szCs w:val="28"/>
              </w:rPr>
            </w:pPr>
            <w:r w:rsidRPr="00AD7694">
              <w:rPr>
                <w:rFonts w:ascii="宋体" w:eastAsia="宋体" w:hAnsi="宋体" w:cs="宋体" w:hint="eastAsia"/>
                <w:color w:val="2D2D2D"/>
                <w:kern w:val="0"/>
                <w:sz w:val="28"/>
                <w:szCs w:val="28"/>
              </w:rPr>
              <w:t xml:space="preserve">　　一类会议 </w:t>
            </w:r>
          </w:p>
        </w:tc>
        <w:tc>
          <w:tcPr>
            <w:tcW w:w="1245" w:type="dxa"/>
            <w:tcBorders>
              <w:top w:val="outset" w:sz="6" w:space="0" w:color="auto"/>
              <w:left w:val="outset" w:sz="6" w:space="0" w:color="auto"/>
              <w:bottom w:val="outset" w:sz="6" w:space="0" w:color="auto"/>
              <w:right w:val="outset" w:sz="6" w:space="0" w:color="auto"/>
            </w:tcBorders>
            <w:vAlign w:val="center"/>
            <w:hideMark/>
          </w:tcPr>
          <w:p w:rsidR="00AD7694" w:rsidRPr="00AD7694" w:rsidRDefault="00AD7694" w:rsidP="00AD7694">
            <w:pPr>
              <w:widowControl/>
              <w:spacing w:line="300" w:lineRule="atLeast"/>
              <w:jc w:val="left"/>
              <w:rPr>
                <w:rFonts w:ascii="宋体" w:eastAsia="宋体" w:hAnsi="宋体" w:cs="宋体"/>
                <w:color w:val="2D2D2D"/>
                <w:kern w:val="0"/>
                <w:sz w:val="28"/>
                <w:szCs w:val="28"/>
              </w:rPr>
            </w:pPr>
            <w:r w:rsidRPr="00AD7694">
              <w:rPr>
                <w:rFonts w:ascii="宋体" w:eastAsia="宋体" w:hAnsi="宋体" w:cs="宋体" w:hint="eastAsia"/>
                <w:color w:val="2D2D2D"/>
                <w:kern w:val="0"/>
                <w:sz w:val="28"/>
                <w:szCs w:val="28"/>
              </w:rPr>
              <w:t xml:space="preserve">　　400 </w:t>
            </w:r>
          </w:p>
        </w:tc>
        <w:tc>
          <w:tcPr>
            <w:tcW w:w="1560" w:type="dxa"/>
            <w:tcBorders>
              <w:top w:val="outset" w:sz="6" w:space="0" w:color="auto"/>
              <w:left w:val="outset" w:sz="6" w:space="0" w:color="auto"/>
              <w:bottom w:val="outset" w:sz="6" w:space="0" w:color="auto"/>
              <w:right w:val="outset" w:sz="6" w:space="0" w:color="auto"/>
            </w:tcBorders>
            <w:vAlign w:val="center"/>
            <w:hideMark/>
          </w:tcPr>
          <w:p w:rsidR="00AD7694" w:rsidRPr="00AD7694" w:rsidRDefault="00AD7694" w:rsidP="00AD7694">
            <w:pPr>
              <w:widowControl/>
              <w:spacing w:line="300" w:lineRule="atLeast"/>
              <w:jc w:val="left"/>
              <w:rPr>
                <w:rFonts w:ascii="宋体" w:eastAsia="宋体" w:hAnsi="宋体" w:cs="宋体"/>
                <w:color w:val="2D2D2D"/>
                <w:kern w:val="0"/>
                <w:sz w:val="28"/>
                <w:szCs w:val="28"/>
              </w:rPr>
            </w:pPr>
            <w:r w:rsidRPr="00AD7694">
              <w:rPr>
                <w:rFonts w:ascii="宋体" w:eastAsia="宋体" w:hAnsi="宋体" w:cs="宋体" w:hint="eastAsia"/>
                <w:color w:val="2D2D2D"/>
                <w:kern w:val="0"/>
                <w:sz w:val="28"/>
                <w:szCs w:val="28"/>
              </w:rPr>
              <w:t xml:space="preserve">　　150 </w:t>
            </w:r>
          </w:p>
        </w:tc>
        <w:tc>
          <w:tcPr>
            <w:tcW w:w="1560" w:type="dxa"/>
            <w:tcBorders>
              <w:top w:val="outset" w:sz="6" w:space="0" w:color="auto"/>
              <w:left w:val="outset" w:sz="6" w:space="0" w:color="auto"/>
              <w:bottom w:val="outset" w:sz="6" w:space="0" w:color="auto"/>
              <w:right w:val="outset" w:sz="6" w:space="0" w:color="auto"/>
            </w:tcBorders>
            <w:vAlign w:val="center"/>
            <w:hideMark/>
          </w:tcPr>
          <w:p w:rsidR="00AD7694" w:rsidRPr="00AD7694" w:rsidRDefault="00AD7694" w:rsidP="00AD7694">
            <w:pPr>
              <w:widowControl/>
              <w:spacing w:line="300" w:lineRule="atLeast"/>
              <w:jc w:val="left"/>
              <w:rPr>
                <w:rFonts w:ascii="宋体" w:eastAsia="宋体" w:hAnsi="宋体" w:cs="宋体"/>
                <w:color w:val="2D2D2D"/>
                <w:kern w:val="0"/>
                <w:sz w:val="28"/>
                <w:szCs w:val="28"/>
              </w:rPr>
            </w:pPr>
            <w:r w:rsidRPr="00AD7694">
              <w:rPr>
                <w:rFonts w:ascii="宋体" w:eastAsia="宋体" w:hAnsi="宋体" w:cs="宋体" w:hint="eastAsia"/>
                <w:color w:val="2D2D2D"/>
                <w:kern w:val="0"/>
                <w:sz w:val="28"/>
                <w:szCs w:val="28"/>
              </w:rPr>
              <w:t xml:space="preserve">　　110 </w:t>
            </w:r>
          </w:p>
        </w:tc>
        <w:tc>
          <w:tcPr>
            <w:tcW w:w="1695" w:type="dxa"/>
            <w:tcBorders>
              <w:top w:val="outset" w:sz="6" w:space="0" w:color="auto"/>
              <w:left w:val="outset" w:sz="6" w:space="0" w:color="auto"/>
              <w:bottom w:val="outset" w:sz="6" w:space="0" w:color="auto"/>
              <w:right w:val="outset" w:sz="6" w:space="0" w:color="auto"/>
            </w:tcBorders>
            <w:vAlign w:val="center"/>
            <w:hideMark/>
          </w:tcPr>
          <w:p w:rsidR="00AD7694" w:rsidRPr="00AD7694" w:rsidRDefault="00AD7694" w:rsidP="00AD7694">
            <w:pPr>
              <w:widowControl/>
              <w:spacing w:line="300" w:lineRule="atLeast"/>
              <w:jc w:val="left"/>
              <w:rPr>
                <w:rFonts w:ascii="宋体" w:eastAsia="宋体" w:hAnsi="宋体" w:cs="宋体"/>
                <w:color w:val="2D2D2D"/>
                <w:kern w:val="0"/>
                <w:sz w:val="28"/>
                <w:szCs w:val="28"/>
              </w:rPr>
            </w:pPr>
            <w:r w:rsidRPr="00AD7694">
              <w:rPr>
                <w:rFonts w:ascii="宋体" w:eastAsia="宋体" w:hAnsi="宋体" w:cs="宋体" w:hint="eastAsia"/>
                <w:color w:val="2D2D2D"/>
                <w:kern w:val="0"/>
                <w:sz w:val="28"/>
                <w:szCs w:val="28"/>
              </w:rPr>
              <w:t xml:space="preserve">　　660 </w:t>
            </w:r>
          </w:p>
        </w:tc>
      </w:tr>
      <w:tr w:rsidR="00AD7694" w:rsidRPr="00AD7694" w:rsidTr="00AD7694">
        <w:trPr>
          <w:tblCellSpacing w:w="0" w:type="dxa"/>
        </w:trPr>
        <w:tc>
          <w:tcPr>
            <w:tcW w:w="2025" w:type="dxa"/>
            <w:tcBorders>
              <w:top w:val="outset" w:sz="6" w:space="0" w:color="auto"/>
              <w:left w:val="outset" w:sz="6" w:space="0" w:color="auto"/>
              <w:bottom w:val="outset" w:sz="6" w:space="0" w:color="auto"/>
              <w:right w:val="outset" w:sz="6" w:space="0" w:color="auto"/>
            </w:tcBorders>
            <w:vAlign w:val="center"/>
            <w:hideMark/>
          </w:tcPr>
          <w:p w:rsidR="00AD7694" w:rsidRPr="00AD7694" w:rsidRDefault="00AD7694" w:rsidP="00AD7694">
            <w:pPr>
              <w:widowControl/>
              <w:spacing w:line="300" w:lineRule="atLeast"/>
              <w:jc w:val="left"/>
              <w:rPr>
                <w:rFonts w:ascii="宋体" w:eastAsia="宋体" w:hAnsi="宋体" w:cs="宋体"/>
                <w:color w:val="2D2D2D"/>
                <w:kern w:val="0"/>
                <w:sz w:val="28"/>
                <w:szCs w:val="28"/>
              </w:rPr>
            </w:pPr>
            <w:r w:rsidRPr="00AD7694">
              <w:rPr>
                <w:rFonts w:ascii="宋体" w:eastAsia="宋体" w:hAnsi="宋体" w:cs="宋体" w:hint="eastAsia"/>
                <w:color w:val="2D2D2D"/>
                <w:kern w:val="0"/>
                <w:sz w:val="28"/>
                <w:szCs w:val="28"/>
              </w:rPr>
              <w:t xml:space="preserve">　　二类会议 </w:t>
            </w:r>
          </w:p>
        </w:tc>
        <w:tc>
          <w:tcPr>
            <w:tcW w:w="1245" w:type="dxa"/>
            <w:tcBorders>
              <w:top w:val="outset" w:sz="6" w:space="0" w:color="auto"/>
              <w:left w:val="outset" w:sz="6" w:space="0" w:color="auto"/>
              <w:bottom w:val="outset" w:sz="6" w:space="0" w:color="auto"/>
              <w:right w:val="outset" w:sz="6" w:space="0" w:color="auto"/>
            </w:tcBorders>
            <w:vAlign w:val="center"/>
            <w:hideMark/>
          </w:tcPr>
          <w:p w:rsidR="00AD7694" w:rsidRPr="00AD7694" w:rsidRDefault="00AD7694" w:rsidP="00AD7694">
            <w:pPr>
              <w:widowControl/>
              <w:spacing w:line="300" w:lineRule="atLeast"/>
              <w:jc w:val="left"/>
              <w:rPr>
                <w:rFonts w:ascii="宋体" w:eastAsia="宋体" w:hAnsi="宋体" w:cs="宋体"/>
                <w:color w:val="2D2D2D"/>
                <w:kern w:val="0"/>
                <w:sz w:val="28"/>
                <w:szCs w:val="28"/>
              </w:rPr>
            </w:pPr>
            <w:r w:rsidRPr="00AD7694">
              <w:rPr>
                <w:rFonts w:ascii="宋体" w:eastAsia="宋体" w:hAnsi="宋体" w:cs="宋体" w:hint="eastAsia"/>
                <w:color w:val="2D2D2D"/>
                <w:kern w:val="0"/>
                <w:sz w:val="28"/>
                <w:szCs w:val="28"/>
              </w:rPr>
              <w:t xml:space="preserve">　　300 </w:t>
            </w:r>
          </w:p>
        </w:tc>
        <w:tc>
          <w:tcPr>
            <w:tcW w:w="1560" w:type="dxa"/>
            <w:tcBorders>
              <w:top w:val="outset" w:sz="6" w:space="0" w:color="auto"/>
              <w:left w:val="outset" w:sz="6" w:space="0" w:color="auto"/>
              <w:bottom w:val="outset" w:sz="6" w:space="0" w:color="auto"/>
              <w:right w:val="outset" w:sz="6" w:space="0" w:color="auto"/>
            </w:tcBorders>
            <w:vAlign w:val="center"/>
            <w:hideMark/>
          </w:tcPr>
          <w:p w:rsidR="00AD7694" w:rsidRPr="00AD7694" w:rsidRDefault="00AD7694" w:rsidP="00AD7694">
            <w:pPr>
              <w:widowControl/>
              <w:spacing w:line="300" w:lineRule="atLeast"/>
              <w:jc w:val="left"/>
              <w:rPr>
                <w:rFonts w:ascii="宋体" w:eastAsia="宋体" w:hAnsi="宋体" w:cs="宋体"/>
                <w:color w:val="2D2D2D"/>
                <w:kern w:val="0"/>
                <w:sz w:val="28"/>
                <w:szCs w:val="28"/>
              </w:rPr>
            </w:pPr>
            <w:r w:rsidRPr="00AD7694">
              <w:rPr>
                <w:rFonts w:ascii="宋体" w:eastAsia="宋体" w:hAnsi="宋体" w:cs="宋体" w:hint="eastAsia"/>
                <w:color w:val="2D2D2D"/>
                <w:kern w:val="0"/>
                <w:sz w:val="28"/>
                <w:szCs w:val="28"/>
              </w:rPr>
              <w:t xml:space="preserve">　　150 </w:t>
            </w:r>
          </w:p>
        </w:tc>
        <w:tc>
          <w:tcPr>
            <w:tcW w:w="1560" w:type="dxa"/>
            <w:tcBorders>
              <w:top w:val="outset" w:sz="6" w:space="0" w:color="auto"/>
              <w:left w:val="outset" w:sz="6" w:space="0" w:color="auto"/>
              <w:bottom w:val="outset" w:sz="6" w:space="0" w:color="auto"/>
              <w:right w:val="outset" w:sz="6" w:space="0" w:color="auto"/>
            </w:tcBorders>
            <w:vAlign w:val="center"/>
            <w:hideMark/>
          </w:tcPr>
          <w:p w:rsidR="00AD7694" w:rsidRPr="00AD7694" w:rsidRDefault="00AD7694" w:rsidP="00AD7694">
            <w:pPr>
              <w:widowControl/>
              <w:spacing w:line="300" w:lineRule="atLeast"/>
              <w:jc w:val="left"/>
              <w:rPr>
                <w:rFonts w:ascii="宋体" w:eastAsia="宋体" w:hAnsi="宋体" w:cs="宋体"/>
                <w:color w:val="2D2D2D"/>
                <w:kern w:val="0"/>
                <w:sz w:val="28"/>
                <w:szCs w:val="28"/>
              </w:rPr>
            </w:pPr>
            <w:r w:rsidRPr="00AD7694">
              <w:rPr>
                <w:rFonts w:ascii="宋体" w:eastAsia="宋体" w:hAnsi="宋体" w:cs="宋体" w:hint="eastAsia"/>
                <w:color w:val="2D2D2D"/>
                <w:kern w:val="0"/>
                <w:sz w:val="28"/>
                <w:szCs w:val="28"/>
              </w:rPr>
              <w:t xml:space="preserve">　　100 </w:t>
            </w:r>
          </w:p>
        </w:tc>
        <w:tc>
          <w:tcPr>
            <w:tcW w:w="1695" w:type="dxa"/>
            <w:tcBorders>
              <w:top w:val="outset" w:sz="6" w:space="0" w:color="auto"/>
              <w:left w:val="outset" w:sz="6" w:space="0" w:color="auto"/>
              <w:bottom w:val="outset" w:sz="6" w:space="0" w:color="auto"/>
              <w:right w:val="outset" w:sz="6" w:space="0" w:color="auto"/>
            </w:tcBorders>
            <w:vAlign w:val="center"/>
            <w:hideMark/>
          </w:tcPr>
          <w:p w:rsidR="00AD7694" w:rsidRPr="00AD7694" w:rsidRDefault="00AD7694" w:rsidP="00AD7694">
            <w:pPr>
              <w:widowControl/>
              <w:spacing w:line="300" w:lineRule="atLeast"/>
              <w:jc w:val="left"/>
              <w:rPr>
                <w:rFonts w:ascii="宋体" w:eastAsia="宋体" w:hAnsi="宋体" w:cs="宋体"/>
                <w:color w:val="2D2D2D"/>
                <w:kern w:val="0"/>
                <w:sz w:val="28"/>
                <w:szCs w:val="28"/>
              </w:rPr>
            </w:pPr>
            <w:r w:rsidRPr="00AD7694">
              <w:rPr>
                <w:rFonts w:ascii="宋体" w:eastAsia="宋体" w:hAnsi="宋体" w:cs="宋体" w:hint="eastAsia"/>
                <w:color w:val="2D2D2D"/>
                <w:kern w:val="0"/>
                <w:sz w:val="28"/>
                <w:szCs w:val="28"/>
              </w:rPr>
              <w:t xml:space="preserve">　　550 </w:t>
            </w:r>
          </w:p>
        </w:tc>
      </w:tr>
      <w:tr w:rsidR="00AD7694" w:rsidRPr="00AD7694" w:rsidTr="00AD7694">
        <w:trPr>
          <w:tblCellSpacing w:w="0" w:type="dxa"/>
        </w:trPr>
        <w:tc>
          <w:tcPr>
            <w:tcW w:w="2025" w:type="dxa"/>
            <w:tcBorders>
              <w:top w:val="outset" w:sz="6" w:space="0" w:color="auto"/>
              <w:left w:val="outset" w:sz="6" w:space="0" w:color="auto"/>
              <w:bottom w:val="outset" w:sz="6" w:space="0" w:color="auto"/>
              <w:right w:val="outset" w:sz="6" w:space="0" w:color="auto"/>
            </w:tcBorders>
            <w:vAlign w:val="center"/>
            <w:hideMark/>
          </w:tcPr>
          <w:p w:rsidR="00AD7694" w:rsidRPr="00AD7694" w:rsidRDefault="00AD7694" w:rsidP="00AD7694">
            <w:pPr>
              <w:widowControl/>
              <w:spacing w:line="300" w:lineRule="atLeast"/>
              <w:jc w:val="left"/>
              <w:rPr>
                <w:rFonts w:ascii="宋体" w:eastAsia="宋体" w:hAnsi="宋体" w:cs="宋体"/>
                <w:color w:val="2D2D2D"/>
                <w:kern w:val="0"/>
                <w:sz w:val="28"/>
                <w:szCs w:val="28"/>
              </w:rPr>
            </w:pPr>
            <w:r w:rsidRPr="00AD7694">
              <w:rPr>
                <w:rFonts w:ascii="宋体" w:eastAsia="宋体" w:hAnsi="宋体" w:cs="宋体" w:hint="eastAsia"/>
                <w:color w:val="2D2D2D"/>
                <w:kern w:val="0"/>
                <w:sz w:val="28"/>
                <w:szCs w:val="28"/>
              </w:rPr>
              <w:lastRenderedPageBreak/>
              <w:t xml:space="preserve">　　三、四类会议 </w:t>
            </w:r>
          </w:p>
        </w:tc>
        <w:tc>
          <w:tcPr>
            <w:tcW w:w="1245" w:type="dxa"/>
            <w:tcBorders>
              <w:top w:val="outset" w:sz="6" w:space="0" w:color="auto"/>
              <w:left w:val="outset" w:sz="6" w:space="0" w:color="auto"/>
              <w:bottom w:val="outset" w:sz="6" w:space="0" w:color="auto"/>
              <w:right w:val="outset" w:sz="6" w:space="0" w:color="auto"/>
            </w:tcBorders>
            <w:vAlign w:val="center"/>
            <w:hideMark/>
          </w:tcPr>
          <w:p w:rsidR="00AD7694" w:rsidRPr="00AD7694" w:rsidRDefault="00AD7694" w:rsidP="00AD7694">
            <w:pPr>
              <w:widowControl/>
              <w:spacing w:line="300" w:lineRule="atLeast"/>
              <w:jc w:val="left"/>
              <w:rPr>
                <w:rFonts w:ascii="宋体" w:eastAsia="宋体" w:hAnsi="宋体" w:cs="宋体"/>
                <w:color w:val="2D2D2D"/>
                <w:kern w:val="0"/>
                <w:sz w:val="28"/>
                <w:szCs w:val="28"/>
              </w:rPr>
            </w:pPr>
            <w:r w:rsidRPr="00AD7694">
              <w:rPr>
                <w:rFonts w:ascii="宋体" w:eastAsia="宋体" w:hAnsi="宋体" w:cs="宋体" w:hint="eastAsia"/>
                <w:color w:val="2D2D2D"/>
                <w:kern w:val="0"/>
                <w:sz w:val="28"/>
                <w:szCs w:val="28"/>
              </w:rPr>
              <w:t xml:space="preserve">　　240 </w:t>
            </w:r>
          </w:p>
        </w:tc>
        <w:tc>
          <w:tcPr>
            <w:tcW w:w="1560" w:type="dxa"/>
            <w:tcBorders>
              <w:top w:val="outset" w:sz="6" w:space="0" w:color="auto"/>
              <w:left w:val="outset" w:sz="6" w:space="0" w:color="auto"/>
              <w:bottom w:val="outset" w:sz="6" w:space="0" w:color="auto"/>
              <w:right w:val="outset" w:sz="6" w:space="0" w:color="auto"/>
            </w:tcBorders>
            <w:vAlign w:val="center"/>
            <w:hideMark/>
          </w:tcPr>
          <w:p w:rsidR="00AD7694" w:rsidRPr="00AD7694" w:rsidRDefault="00AD7694" w:rsidP="00AD7694">
            <w:pPr>
              <w:widowControl/>
              <w:spacing w:line="300" w:lineRule="atLeast"/>
              <w:jc w:val="left"/>
              <w:rPr>
                <w:rFonts w:ascii="宋体" w:eastAsia="宋体" w:hAnsi="宋体" w:cs="宋体"/>
                <w:color w:val="2D2D2D"/>
                <w:kern w:val="0"/>
                <w:sz w:val="28"/>
                <w:szCs w:val="28"/>
              </w:rPr>
            </w:pPr>
            <w:r w:rsidRPr="00AD7694">
              <w:rPr>
                <w:rFonts w:ascii="宋体" w:eastAsia="宋体" w:hAnsi="宋体" w:cs="宋体" w:hint="eastAsia"/>
                <w:color w:val="2D2D2D"/>
                <w:kern w:val="0"/>
                <w:sz w:val="28"/>
                <w:szCs w:val="28"/>
              </w:rPr>
              <w:t xml:space="preserve">　　130 </w:t>
            </w:r>
          </w:p>
        </w:tc>
        <w:tc>
          <w:tcPr>
            <w:tcW w:w="1560" w:type="dxa"/>
            <w:tcBorders>
              <w:top w:val="outset" w:sz="6" w:space="0" w:color="auto"/>
              <w:left w:val="outset" w:sz="6" w:space="0" w:color="auto"/>
              <w:bottom w:val="outset" w:sz="6" w:space="0" w:color="auto"/>
              <w:right w:val="outset" w:sz="6" w:space="0" w:color="auto"/>
            </w:tcBorders>
            <w:vAlign w:val="center"/>
            <w:hideMark/>
          </w:tcPr>
          <w:p w:rsidR="00AD7694" w:rsidRPr="00AD7694" w:rsidRDefault="00AD7694" w:rsidP="00AD7694">
            <w:pPr>
              <w:widowControl/>
              <w:spacing w:line="300" w:lineRule="atLeast"/>
              <w:jc w:val="left"/>
              <w:rPr>
                <w:rFonts w:ascii="宋体" w:eastAsia="宋体" w:hAnsi="宋体" w:cs="宋体"/>
                <w:color w:val="2D2D2D"/>
                <w:kern w:val="0"/>
                <w:sz w:val="28"/>
                <w:szCs w:val="28"/>
              </w:rPr>
            </w:pPr>
            <w:r w:rsidRPr="00AD7694">
              <w:rPr>
                <w:rFonts w:ascii="宋体" w:eastAsia="宋体" w:hAnsi="宋体" w:cs="宋体" w:hint="eastAsia"/>
                <w:color w:val="2D2D2D"/>
                <w:kern w:val="0"/>
                <w:sz w:val="28"/>
                <w:szCs w:val="28"/>
              </w:rPr>
              <w:t xml:space="preserve">　　80 </w:t>
            </w:r>
          </w:p>
        </w:tc>
        <w:tc>
          <w:tcPr>
            <w:tcW w:w="1695" w:type="dxa"/>
            <w:tcBorders>
              <w:top w:val="outset" w:sz="6" w:space="0" w:color="auto"/>
              <w:left w:val="outset" w:sz="6" w:space="0" w:color="auto"/>
              <w:bottom w:val="outset" w:sz="6" w:space="0" w:color="auto"/>
              <w:right w:val="outset" w:sz="6" w:space="0" w:color="auto"/>
            </w:tcBorders>
            <w:vAlign w:val="center"/>
            <w:hideMark/>
          </w:tcPr>
          <w:p w:rsidR="00AD7694" w:rsidRPr="00AD7694" w:rsidRDefault="00AD7694" w:rsidP="00AD7694">
            <w:pPr>
              <w:widowControl/>
              <w:spacing w:line="300" w:lineRule="atLeast"/>
              <w:jc w:val="left"/>
              <w:rPr>
                <w:rFonts w:ascii="宋体" w:eastAsia="宋体" w:hAnsi="宋体" w:cs="宋体"/>
                <w:color w:val="2D2D2D"/>
                <w:kern w:val="0"/>
                <w:sz w:val="28"/>
                <w:szCs w:val="28"/>
              </w:rPr>
            </w:pPr>
            <w:r w:rsidRPr="00AD7694">
              <w:rPr>
                <w:rFonts w:ascii="宋体" w:eastAsia="宋体" w:hAnsi="宋体" w:cs="宋体" w:hint="eastAsia"/>
                <w:color w:val="2D2D2D"/>
                <w:kern w:val="0"/>
                <w:sz w:val="28"/>
                <w:szCs w:val="28"/>
              </w:rPr>
              <w:t xml:space="preserve">　　450 </w:t>
            </w:r>
          </w:p>
        </w:tc>
      </w:tr>
    </w:tbl>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综合定额标准是会议费开支的上限,各单位应在综合定额标准以内结算报销。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第十六条　一类会议费在部门预算专项经费中列支,二、三、四类会议费原则上在部门预算公用经费中列支。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会议费由会议召开单位承担,不得向参会人员收取,不得以任何方式向下属机构、企事业单位、地方转嫁或摊派。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第十七条　各单位在会议结束后应当及时办理报销手续。会议费报销时应当提供会议审批文件、会议通知及实际参会人员签到表、定点饭店等会议服务单位提供的费用原始明细单据、电子结算单等凭证。财务部门要严格按规定审核会议费开支,对未列入年度会议计划,以及超范围、超标准开支的经费不予报销。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第十八条　各单位会议费支付,应当严格按照国库集中支付制度和公务卡管理制度的有关规定执行,以银行转账或公务卡方式结算,禁止以现金方式结算。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具备条件的,会议费应由单位财务部门直接结算。 </w:t>
      </w:r>
    </w:p>
    <w:p w:rsidR="00AD7694" w:rsidRPr="00AD7694" w:rsidRDefault="00AD7694" w:rsidP="00AD7694">
      <w:pPr>
        <w:widowControl/>
        <w:shd w:val="clear" w:color="auto" w:fill="F5FAFE"/>
        <w:spacing w:line="360" w:lineRule="atLeast"/>
        <w:ind w:firstLine="360"/>
        <w:jc w:val="center"/>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第四章　会议费公示和年度报告制度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第十九条　各单位应当将非涉密会议的名称、主要内容、参会人数、经费开支等情况在单位内部公示,具备条件的应向社会公开。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第二十条　一级预算单位应当于每年3月底前,将本级和下属预算单位上年度会议计划和执行情况(包括会议名称、主要内容、时</w:t>
      </w:r>
      <w:r w:rsidRPr="00AD7694">
        <w:rPr>
          <w:rFonts w:ascii="宋体" w:eastAsia="宋体" w:hAnsi="宋体" w:cs="宋体" w:hint="eastAsia"/>
          <w:color w:val="555555"/>
          <w:kern w:val="0"/>
          <w:sz w:val="28"/>
          <w:szCs w:val="28"/>
        </w:rPr>
        <w:lastRenderedPageBreak/>
        <w:t xml:space="preserve">间地点、代表人数、工作人员数、经费开支及列支渠道等)汇总后报财政部。党中央各部门同时抄送中直管理局,国务院各部门同时抄送国管局。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第二十一条　财政部对各单位报送的会议年度报告进行汇总分析,针对执行中存在的问题,及时完善相关制度。 </w:t>
      </w:r>
    </w:p>
    <w:p w:rsidR="00AD7694" w:rsidRPr="00AD7694" w:rsidRDefault="00AD7694" w:rsidP="00AD7694">
      <w:pPr>
        <w:widowControl/>
        <w:shd w:val="clear" w:color="auto" w:fill="F5FAFE"/>
        <w:spacing w:line="360" w:lineRule="atLeast"/>
        <w:ind w:firstLine="360"/>
        <w:jc w:val="center"/>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第五章　管理职责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第二十二条　财政部的主要职责是: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w:t>
      </w:r>
      <w:proofErr w:type="gramStart"/>
      <w:r w:rsidRPr="00AD7694">
        <w:rPr>
          <w:rFonts w:ascii="宋体" w:eastAsia="宋体" w:hAnsi="宋体" w:cs="宋体" w:hint="eastAsia"/>
          <w:color w:val="555555"/>
          <w:kern w:val="0"/>
          <w:sz w:val="28"/>
          <w:szCs w:val="28"/>
        </w:rPr>
        <w:t>一</w:t>
      </w:r>
      <w:proofErr w:type="gramEnd"/>
      <w:r w:rsidRPr="00AD7694">
        <w:rPr>
          <w:rFonts w:ascii="宋体" w:eastAsia="宋体" w:hAnsi="宋体" w:cs="宋体" w:hint="eastAsia"/>
          <w:color w:val="555555"/>
          <w:kern w:val="0"/>
          <w:sz w:val="28"/>
          <w:szCs w:val="28"/>
        </w:rPr>
        <w:t xml:space="preserve">)会同国管局、中直管理局等部门制定或修订中央本级会议费管理办法,并对执行情况进行监督检查;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(二)按规定对各单位报送的二类会议计划进行审核会签;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(三)对会议费支付结算实施动态监控;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(四)对各单位报送的会议年度报告进行汇总分析,提出加强管理的措施。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第二十三条　国管局的主要职责是: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w:t>
      </w:r>
      <w:proofErr w:type="gramStart"/>
      <w:r w:rsidRPr="00AD7694">
        <w:rPr>
          <w:rFonts w:ascii="宋体" w:eastAsia="宋体" w:hAnsi="宋体" w:cs="宋体" w:hint="eastAsia"/>
          <w:color w:val="555555"/>
          <w:kern w:val="0"/>
          <w:sz w:val="28"/>
          <w:szCs w:val="28"/>
        </w:rPr>
        <w:t>一</w:t>
      </w:r>
      <w:proofErr w:type="gramEnd"/>
      <w:r w:rsidRPr="00AD7694">
        <w:rPr>
          <w:rFonts w:ascii="宋体" w:eastAsia="宋体" w:hAnsi="宋体" w:cs="宋体" w:hint="eastAsia"/>
          <w:color w:val="555555"/>
          <w:kern w:val="0"/>
          <w:sz w:val="28"/>
          <w:szCs w:val="28"/>
        </w:rPr>
        <w:t xml:space="preserve">)配合财政部制定或修订中央和国家机关会议费管理办法;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(二)负责国务院召开的一类会议的总务工作;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(三)配合财政部对国务院各部委、各直属机构会议</w:t>
      </w:r>
      <w:proofErr w:type="gramStart"/>
      <w:r w:rsidRPr="00AD7694">
        <w:rPr>
          <w:rFonts w:ascii="宋体" w:eastAsia="宋体" w:hAnsi="宋体" w:cs="宋体" w:hint="eastAsia"/>
          <w:color w:val="555555"/>
          <w:kern w:val="0"/>
          <w:sz w:val="28"/>
          <w:szCs w:val="28"/>
        </w:rPr>
        <w:t>费执行</w:t>
      </w:r>
      <w:proofErr w:type="gramEnd"/>
      <w:r w:rsidRPr="00AD7694">
        <w:rPr>
          <w:rFonts w:ascii="宋体" w:eastAsia="宋体" w:hAnsi="宋体" w:cs="宋体" w:hint="eastAsia"/>
          <w:color w:val="555555"/>
          <w:kern w:val="0"/>
          <w:sz w:val="28"/>
          <w:szCs w:val="28"/>
        </w:rPr>
        <w:t xml:space="preserve">情况进行监督检查。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第二十四条　中直管理局的主要职责是: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w:t>
      </w:r>
      <w:proofErr w:type="gramStart"/>
      <w:r w:rsidRPr="00AD7694">
        <w:rPr>
          <w:rFonts w:ascii="宋体" w:eastAsia="宋体" w:hAnsi="宋体" w:cs="宋体" w:hint="eastAsia"/>
          <w:color w:val="555555"/>
          <w:kern w:val="0"/>
          <w:sz w:val="28"/>
          <w:szCs w:val="28"/>
        </w:rPr>
        <w:t>一</w:t>
      </w:r>
      <w:proofErr w:type="gramEnd"/>
      <w:r w:rsidRPr="00AD7694">
        <w:rPr>
          <w:rFonts w:ascii="宋体" w:eastAsia="宋体" w:hAnsi="宋体" w:cs="宋体" w:hint="eastAsia"/>
          <w:color w:val="555555"/>
          <w:kern w:val="0"/>
          <w:sz w:val="28"/>
          <w:szCs w:val="28"/>
        </w:rPr>
        <w:t xml:space="preserve">)配合财政部制定或修订中央和国家机关会议费管理办法;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lastRenderedPageBreak/>
        <w:t xml:space="preserve">　　(二)负责党中央召开的一类会议的总务工作;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(三)配合财政部对中央各部门会议</w:t>
      </w:r>
      <w:proofErr w:type="gramStart"/>
      <w:r w:rsidRPr="00AD7694">
        <w:rPr>
          <w:rFonts w:ascii="宋体" w:eastAsia="宋体" w:hAnsi="宋体" w:cs="宋体" w:hint="eastAsia"/>
          <w:color w:val="555555"/>
          <w:kern w:val="0"/>
          <w:sz w:val="28"/>
          <w:szCs w:val="28"/>
        </w:rPr>
        <w:t>费执行</w:t>
      </w:r>
      <w:proofErr w:type="gramEnd"/>
      <w:r w:rsidRPr="00AD7694">
        <w:rPr>
          <w:rFonts w:ascii="宋体" w:eastAsia="宋体" w:hAnsi="宋体" w:cs="宋体" w:hint="eastAsia"/>
          <w:color w:val="555555"/>
          <w:kern w:val="0"/>
          <w:sz w:val="28"/>
          <w:szCs w:val="28"/>
        </w:rPr>
        <w:t xml:space="preserve">情况进行监督检查。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第二十五条　各单位的主要职责是: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w:t>
      </w:r>
      <w:proofErr w:type="gramStart"/>
      <w:r w:rsidRPr="00AD7694">
        <w:rPr>
          <w:rFonts w:ascii="宋体" w:eastAsia="宋体" w:hAnsi="宋体" w:cs="宋体" w:hint="eastAsia"/>
          <w:color w:val="555555"/>
          <w:kern w:val="0"/>
          <w:sz w:val="28"/>
          <w:szCs w:val="28"/>
        </w:rPr>
        <w:t>一</w:t>
      </w:r>
      <w:proofErr w:type="gramEnd"/>
      <w:r w:rsidRPr="00AD7694">
        <w:rPr>
          <w:rFonts w:ascii="宋体" w:eastAsia="宋体" w:hAnsi="宋体" w:cs="宋体" w:hint="eastAsia"/>
          <w:color w:val="555555"/>
          <w:kern w:val="0"/>
          <w:sz w:val="28"/>
          <w:szCs w:val="28"/>
        </w:rPr>
        <w:t xml:space="preserve">)负责制定本单位会议费管理的实施细则;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(二)负责单位年度会议计划编制和三类、四类会议的审批管理;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(三)负责安排会议预算并按规定管理、使用会议费,做好相应的财务管理和会计核算工作,对内部会议费报销进行审核把关,确保票据来源合法,内容真实、完整、合</w:t>
      </w:r>
      <w:proofErr w:type="gramStart"/>
      <w:r w:rsidRPr="00AD7694">
        <w:rPr>
          <w:rFonts w:ascii="宋体" w:eastAsia="宋体" w:hAnsi="宋体" w:cs="宋体" w:hint="eastAsia"/>
          <w:color w:val="555555"/>
          <w:kern w:val="0"/>
          <w:sz w:val="28"/>
          <w:szCs w:val="28"/>
        </w:rPr>
        <w:t>规</w:t>
      </w:r>
      <w:proofErr w:type="gramEnd"/>
      <w:r w:rsidRPr="00AD7694">
        <w:rPr>
          <w:rFonts w:ascii="宋体" w:eastAsia="宋体" w:hAnsi="宋体" w:cs="宋体" w:hint="eastAsia"/>
          <w:color w:val="555555"/>
          <w:kern w:val="0"/>
          <w:sz w:val="28"/>
          <w:szCs w:val="28"/>
        </w:rPr>
        <w:t xml:space="preserve">;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(四)按规定报送会议年度报告,加强对本单位会议费使用的内控管理。 </w:t>
      </w:r>
    </w:p>
    <w:p w:rsidR="00AD7694" w:rsidRPr="00AD7694" w:rsidRDefault="00AD7694" w:rsidP="00AD7694">
      <w:pPr>
        <w:widowControl/>
        <w:shd w:val="clear" w:color="auto" w:fill="F5FAFE"/>
        <w:spacing w:line="360" w:lineRule="atLeast"/>
        <w:ind w:firstLine="360"/>
        <w:jc w:val="center"/>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第六章　监督检查和责任追究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第二十六条　财政部、国管局、中直管理局会同有关部门对各单位会议费管理和使用情况进行监督检查。主要内容包括: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w:t>
      </w:r>
      <w:proofErr w:type="gramStart"/>
      <w:r w:rsidRPr="00AD7694">
        <w:rPr>
          <w:rFonts w:ascii="宋体" w:eastAsia="宋体" w:hAnsi="宋体" w:cs="宋体" w:hint="eastAsia"/>
          <w:color w:val="555555"/>
          <w:kern w:val="0"/>
          <w:sz w:val="28"/>
          <w:szCs w:val="28"/>
        </w:rPr>
        <w:t>一</w:t>
      </w:r>
      <w:proofErr w:type="gramEnd"/>
      <w:r w:rsidRPr="00AD7694">
        <w:rPr>
          <w:rFonts w:ascii="宋体" w:eastAsia="宋体" w:hAnsi="宋体" w:cs="宋体" w:hint="eastAsia"/>
          <w:color w:val="555555"/>
          <w:kern w:val="0"/>
          <w:sz w:val="28"/>
          <w:szCs w:val="28"/>
        </w:rPr>
        <w:t xml:space="preserve">)会议计划的编报、审批是否符合规定;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(二)会议费开支范围和开支标准是否符合规定;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(三)会议费报销和支付是否符合规定;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(四)会议会期、规模是否符合规定,会议是否在规定的地点和场所召开;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(五)是否向下属机构、企事业单位或地方转嫁、摊派会议费;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(六)会议费管理和使用的其他情况。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lastRenderedPageBreak/>
        <w:t xml:space="preserve">　　第二十七条　严禁各单位借会议名义组织会餐或安排宴请;严禁套取会议</w:t>
      </w:r>
      <w:proofErr w:type="gramStart"/>
      <w:r w:rsidRPr="00AD7694">
        <w:rPr>
          <w:rFonts w:ascii="宋体" w:eastAsia="宋体" w:hAnsi="宋体" w:cs="宋体" w:hint="eastAsia"/>
          <w:color w:val="555555"/>
          <w:kern w:val="0"/>
          <w:sz w:val="28"/>
          <w:szCs w:val="28"/>
        </w:rPr>
        <w:t>费设立</w:t>
      </w:r>
      <w:proofErr w:type="gramEnd"/>
      <w:r w:rsidRPr="00AD7694">
        <w:rPr>
          <w:rFonts w:ascii="宋体" w:eastAsia="宋体" w:hAnsi="宋体" w:cs="宋体" w:hint="eastAsia"/>
          <w:color w:val="555555"/>
          <w:kern w:val="0"/>
          <w:sz w:val="28"/>
          <w:szCs w:val="28"/>
        </w:rPr>
        <w:t xml:space="preserve">“小金库”;严禁在会议费中列支公务接待费。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各单位应严格执行会议用房标准,不得安排高档套房;会议用餐严格控制菜品种类、数量和份量,安排自助餐,严禁提供高档菜肴,不安排宴请,不上烟酒;会议会场一律不摆花草,不制作背景板,不提供水果。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第二十八条　违反本办法规定,有下列行为之一的,依法依规追究会议举办单位和相关人员的责任: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w:t>
      </w:r>
      <w:proofErr w:type="gramStart"/>
      <w:r w:rsidRPr="00AD7694">
        <w:rPr>
          <w:rFonts w:ascii="宋体" w:eastAsia="宋体" w:hAnsi="宋体" w:cs="宋体" w:hint="eastAsia"/>
          <w:color w:val="555555"/>
          <w:kern w:val="0"/>
          <w:sz w:val="28"/>
          <w:szCs w:val="28"/>
        </w:rPr>
        <w:t>一</w:t>
      </w:r>
      <w:proofErr w:type="gramEnd"/>
      <w:r w:rsidRPr="00AD7694">
        <w:rPr>
          <w:rFonts w:ascii="宋体" w:eastAsia="宋体" w:hAnsi="宋体" w:cs="宋体" w:hint="eastAsia"/>
          <w:color w:val="555555"/>
          <w:kern w:val="0"/>
          <w:sz w:val="28"/>
          <w:szCs w:val="28"/>
        </w:rPr>
        <w:t>)计划</w:t>
      </w:r>
      <w:proofErr w:type="gramStart"/>
      <w:r w:rsidRPr="00AD7694">
        <w:rPr>
          <w:rFonts w:ascii="宋体" w:eastAsia="宋体" w:hAnsi="宋体" w:cs="宋体" w:hint="eastAsia"/>
          <w:color w:val="555555"/>
          <w:kern w:val="0"/>
          <w:sz w:val="28"/>
          <w:szCs w:val="28"/>
        </w:rPr>
        <w:t>外召开</w:t>
      </w:r>
      <w:proofErr w:type="gramEnd"/>
      <w:r w:rsidRPr="00AD7694">
        <w:rPr>
          <w:rFonts w:ascii="宋体" w:eastAsia="宋体" w:hAnsi="宋体" w:cs="宋体" w:hint="eastAsia"/>
          <w:color w:val="555555"/>
          <w:kern w:val="0"/>
          <w:sz w:val="28"/>
          <w:szCs w:val="28"/>
        </w:rPr>
        <w:t xml:space="preserve">会议的;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(二)以虚报、冒领手段骗取会议费的;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(三)虚报会议人数、天数等进行报销的;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(四)违规扩大会议费开支范围,擅自提高会议费开支标准的;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(五)违规报销与会议无关费用的;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(六)其他违反本办法行为的。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有前款所</w:t>
      </w:r>
      <w:proofErr w:type="gramStart"/>
      <w:r w:rsidRPr="00AD7694">
        <w:rPr>
          <w:rFonts w:ascii="宋体" w:eastAsia="宋体" w:hAnsi="宋体" w:cs="宋体" w:hint="eastAsia"/>
          <w:color w:val="555555"/>
          <w:kern w:val="0"/>
          <w:sz w:val="28"/>
          <w:szCs w:val="28"/>
        </w:rPr>
        <w:t>列行</w:t>
      </w:r>
      <w:proofErr w:type="gramEnd"/>
      <w:r w:rsidRPr="00AD7694">
        <w:rPr>
          <w:rFonts w:ascii="宋体" w:eastAsia="宋体" w:hAnsi="宋体" w:cs="宋体" w:hint="eastAsia"/>
          <w:color w:val="555555"/>
          <w:kern w:val="0"/>
          <w:sz w:val="28"/>
          <w:szCs w:val="28"/>
        </w:rPr>
        <w:t xml:space="preserve">为之一的,由财政部会同有关部门责令改正,追回资金,并经报批后予以通报。对直接负责的主管人员和相关负责人,报请其所在单位按规定给予行政处分。如行为涉嫌违法的,移交司法机关处理。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lastRenderedPageBreak/>
        <w:t xml:space="preserve">　　定点饭店或单位内部宾馆、招待所、培训中心有关工作人员违反规定的,按照财政部定点饭店管理的有关规定处理。 </w:t>
      </w:r>
    </w:p>
    <w:p w:rsidR="00AD7694" w:rsidRPr="00AD7694" w:rsidRDefault="00AD7694" w:rsidP="00AD7694">
      <w:pPr>
        <w:widowControl/>
        <w:shd w:val="clear" w:color="auto" w:fill="F5FAFE"/>
        <w:spacing w:line="360" w:lineRule="atLeast"/>
        <w:ind w:firstLine="360"/>
        <w:jc w:val="center"/>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第七章　附则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第二十九条　各单位应当按照本办法规定,结合本单位业务特点和工作需要,制定会议费管理具体规定。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第三十条　中央事业单位会议费管理参照本办法执行。 </w:t>
      </w:r>
    </w:p>
    <w:p w:rsidR="00AD7694" w:rsidRPr="00AD7694" w:rsidRDefault="00AD7694" w:rsidP="00AD7694">
      <w:pPr>
        <w:widowControl/>
        <w:shd w:val="clear" w:color="auto" w:fill="F5FAFE"/>
        <w:spacing w:line="360" w:lineRule="atLeast"/>
        <w:ind w:firstLine="360"/>
        <w:jc w:val="left"/>
        <w:rPr>
          <w:rFonts w:ascii="宋体" w:eastAsia="宋体" w:hAnsi="宋体" w:cs="宋体" w:hint="eastAsia"/>
          <w:color w:val="555555"/>
          <w:kern w:val="0"/>
          <w:sz w:val="28"/>
          <w:szCs w:val="28"/>
        </w:rPr>
      </w:pPr>
      <w:r w:rsidRPr="00AD7694">
        <w:rPr>
          <w:rFonts w:ascii="宋体" w:eastAsia="宋体" w:hAnsi="宋体" w:cs="宋体" w:hint="eastAsia"/>
          <w:color w:val="555555"/>
          <w:kern w:val="0"/>
          <w:sz w:val="28"/>
          <w:szCs w:val="28"/>
        </w:rPr>
        <w:t xml:space="preserve">　　第三十一条　本办法由财政部负责解释,自2014年1月1日起施行。《中央国家机关会议费管理办法》(国管财[2006]426号)、《中央国家机关会议费管理补充规定》(国管财[2007]217号)、《国务院机关事务管理局　财政部关于调整中央国家机关会议费开支标准的通知》(国管财[2008]331号)同时废止。 </w:t>
      </w:r>
    </w:p>
    <w:p w:rsidR="003752FF" w:rsidRPr="00AD7694" w:rsidRDefault="003752FF">
      <w:pPr>
        <w:rPr>
          <w:rFonts w:hint="eastAsia"/>
          <w:sz w:val="28"/>
          <w:szCs w:val="28"/>
        </w:rPr>
      </w:pPr>
    </w:p>
    <w:sectPr w:rsidR="003752FF" w:rsidRPr="00AD7694" w:rsidSect="003752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7694"/>
    <w:rsid w:val="003752FF"/>
    <w:rsid w:val="00AD76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2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7694"/>
    <w:rPr>
      <w:strike w:val="0"/>
      <w:dstrike w:val="0"/>
      <w:color w:val="333333"/>
      <w:u w:val="none"/>
      <w:effect w:val="none"/>
    </w:rPr>
  </w:style>
  <w:style w:type="paragraph" w:styleId="a4">
    <w:name w:val="Normal (Web)"/>
    <w:basedOn w:val="a"/>
    <w:uiPriority w:val="99"/>
    <w:unhideWhenUsed/>
    <w:rsid w:val="00AD7694"/>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95075786">
      <w:bodyDiv w:val="1"/>
      <w:marLeft w:val="0"/>
      <w:marRight w:val="0"/>
      <w:marTop w:val="0"/>
      <w:marBottom w:val="0"/>
      <w:divBdr>
        <w:top w:val="none" w:sz="0" w:space="0" w:color="auto"/>
        <w:left w:val="none" w:sz="0" w:space="0" w:color="auto"/>
        <w:bottom w:val="none" w:sz="0" w:space="0" w:color="auto"/>
        <w:right w:val="none" w:sz="0" w:space="0" w:color="auto"/>
      </w:divBdr>
      <w:divsChild>
        <w:div w:id="1648120788">
          <w:marLeft w:val="0"/>
          <w:marRight w:val="0"/>
          <w:marTop w:val="135"/>
          <w:marBottom w:val="0"/>
          <w:divBdr>
            <w:top w:val="none" w:sz="0" w:space="0" w:color="auto"/>
            <w:left w:val="none" w:sz="0" w:space="0" w:color="auto"/>
            <w:bottom w:val="none" w:sz="0" w:space="0" w:color="auto"/>
            <w:right w:val="none" w:sz="0" w:space="0" w:color="auto"/>
          </w:divBdr>
          <w:divsChild>
            <w:div w:id="1839879583">
              <w:marLeft w:val="0"/>
              <w:marRight w:val="0"/>
              <w:marTop w:val="0"/>
              <w:marBottom w:val="0"/>
              <w:divBdr>
                <w:top w:val="none" w:sz="0" w:space="0" w:color="auto"/>
                <w:left w:val="none" w:sz="0" w:space="0" w:color="auto"/>
                <w:bottom w:val="none" w:sz="0" w:space="0" w:color="auto"/>
                <w:right w:val="none" w:sz="0" w:space="0" w:color="auto"/>
              </w:divBdr>
              <w:divsChild>
                <w:div w:id="1157693676">
                  <w:marLeft w:val="0"/>
                  <w:marRight w:val="0"/>
                  <w:marTop w:val="0"/>
                  <w:marBottom w:val="300"/>
                  <w:divBdr>
                    <w:top w:val="single" w:sz="6" w:space="15" w:color="ADCDF4"/>
                    <w:left w:val="single" w:sz="6" w:space="15" w:color="ADCDF4"/>
                    <w:bottom w:val="single" w:sz="6" w:space="15" w:color="ADCDF4"/>
                    <w:right w:val="single" w:sz="6" w:space="15" w:color="ADCDF4"/>
                  </w:divBdr>
                  <w:divsChild>
                    <w:div w:id="894436174">
                      <w:marLeft w:val="0"/>
                      <w:marRight w:val="0"/>
                      <w:marTop w:val="0"/>
                      <w:marBottom w:val="0"/>
                      <w:divBdr>
                        <w:top w:val="none" w:sz="0" w:space="0" w:color="auto"/>
                        <w:left w:val="none" w:sz="0" w:space="0" w:color="auto"/>
                        <w:bottom w:val="single" w:sz="6" w:space="0" w:color="999999"/>
                        <w:right w:val="none" w:sz="0" w:space="0" w:color="auto"/>
                      </w:divBdr>
                    </w:div>
                    <w:div w:id="1438140108">
                      <w:marLeft w:val="0"/>
                      <w:marRight w:val="0"/>
                      <w:marTop w:val="0"/>
                      <w:marBottom w:val="0"/>
                      <w:divBdr>
                        <w:top w:val="none" w:sz="0" w:space="0" w:color="auto"/>
                        <w:left w:val="none" w:sz="0" w:space="0" w:color="auto"/>
                        <w:bottom w:val="none" w:sz="0" w:space="0" w:color="auto"/>
                        <w:right w:val="none" w:sz="0" w:space="0" w:color="auto"/>
                      </w:divBdr>
                    </w:div>
                    <w:div w:id="1906917772">
                      <w:marLeft w:val="0"/>
                      <w:marRight w:val="0"/>
                      <w:marTop w:val="225"/>
                      <w:marBottom w:val="225"/>
                      <w:divBdr>
                        <w:top w:val="none" w:sz="0" w:space="0" w:color="auto"/>
                        <w:left w:val="none" w:sz="0" w:space="0" w:color="auto"/>
                        <w:bottom w:val="none" w:sz="0" w:space="0" w:color="auto"/>
                        <w:right w:val="none" w:sz="0" w:space="0" w:color="auto"/>
                      </w:divBdr>
                      <w:divsChild>
                        <w:div w:id="3755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732</Words>
  <Characters>4178</Characters>
  <Application>Microsoft Office Word</Application>
  <DocSecurity>0</DocSecurity>
  <Lines>34</Lines>
  <Paragraphs>9</Paragraphs>
  <ScaleCrop>false</ScaleCrop>
  <Company> </Company>
  <LinksUpToDate>false</LinksUpToDate>
  <CharactersWithSpaces>4901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2014-02-19T23:27:00Z</dcterms:created>
  <dcterms:modified xsi:type="dcterms:W3CDTF">2014-02-19T23:28:00Z</dcterms:modified>
</cp:coreProperties>
</file>